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Tomelilla kommunfullmäktige</w:t>
      </w:r>
    </w:p>
    <w:p>
      <w:pPr>
        <w:pStyle w:val="Heading1"/>
      </w:pPr>
      <w:r>
        <w:t xml:space="preserve">Införa krav på språkutbildning och arbetsmarknadsåtgärder vid försörjningsstöd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Tomelilla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Sysselsättningsgraden bland utrikes födda i Tomelilla ligger under länsgenomsnittet enligt Arbetsförmedlingen 2025. Språkbrist är ett hinder för integration. Arbetslinjen har visat goda resultat i andra kommuner.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Tomelilla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krav på deltagande i SFI eller arbetsmarknadsinsatser som villkor för försörjningsstöd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uppdra åt socialnämnden att ta fram rutiner för uppföljning.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erbjuda kombinerade insatser med praktik och språkträning.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utvärdera effekterna efter 18 månader och redovisa för kommunfullmäktige.</w:t>
      </w:r>
    </w:p>
    <w:p>
      <w:pPr>
        <w:spacing w:before="360"/>
      </w:pPr>
    </w:p>
    <w:p>
      <w:r>
        <w:t xml:space="preserve">Tomelilla,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Tomelilla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2026-06-06T01:48:31.843Z</dcterms:created>
  <dcterms:modified xsi:type="dcterms:W3CDTF">2026-06-06T01:48:31.843Z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